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26-75</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620</w:t>
      </w:r>
    </w:p>
    <w:p>
      <w:pPr>
        <w:spacing w:before="0" w:after="0" w:line="480"/>
        <w:ind w:left="120"/>
        <w:jc w:val="center"/>
      </w:pPr>
      <w:r>
        <w:rPr>
          <w:rFonts w:ascii="Times New Roman" w:hAnsi="Times New Roman"/>
          <w:b w:val="false"/>
          <w:i w:val="false"/>
          <w:color w:val="000000"/>
          <w:sz w:val="24"/>
        </w:rPr>
        <w:t>“OWI and Implied Consent”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307.12(1)“j,” 321J.17 and 321J.17A</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321J.17, 321J.17A and 321J.20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23, 2026</w:t>
            </w:r>
            <w:r>
              <w:br/>
            </w:r>
            <w:r>
              <w:rPr>
                <w:rFonts w:ascii="Times New Roman" w:hAnsi="Times New Roman"/>
                <w:b w:val="false"/>
                <w:i w:val="false"/>
                <w:color w:val="000000"/>
                <w:sz w:val="21"/>
              </w:rPr>
              <w:t>1:30 to 2 p.m.</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Conference ID: 223 340 30#</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241"/>
      </w:tblGrid>
      <w:tr>
        <w:trPr>
          <w:trHeight w:val="1950" w:hRule="atLeast"/>
        </w:trPr>
        <w:tc>
          <w:tcPr>
            <w:tcW w:w="4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6310 SE Convenience Boulevard</w:t>
            </w:r>
            <w:r>
              <w:br/>
            </w:r>
            <w:r>
              <w:rPr>
                <w:rFonts w:ascii="Times New Roman" w:hAnsi="Times New Roman"/>
                <w:b w:val="false"/>
                <w:i w:val="false"/>
                <w:color w:val="000000"/>
                <w:sz w:val="21"/>
              </w:rPr>
              <w:t>Ankeny, Iowa 50021</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clarify that reports of installations and deinstallations of ignition interlock devices from providers are to be submitted to the Department electronically through the Department’s new information technology (IT) system and provide greater flexibility in the issuance, as authorized by Iowa Code section 321J.20(6), of temporary restricted license extensions after an operating while intoxicated (OWI) license revocation period has ended.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these proposed amendments. Electronic submission of notices of installation and deinstallation of ignition interlock devices is a functionality being built into the Department’s new IT system.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having to install an ignition interlock device as a condition of a temporary restricted license or license reinstatement will benefit from having notices of installation and deinstallation of the devices submitted electronically, which allows for quicker processing. Persons seeking an extension of a temporary restricted license after the person’s OWI license revocation has ended will benefit from the greater flexibility in the rule allowing the Department to automatically extend the temporary restricted license for six months, while still retaining the ability to extend for a longer period for reasons of hardship.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because of the proposed amendments.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because of the proposed amendments.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Submission of notices of installation and deinstallation of ignition interlock devices electronically through the Department’s new IT system will allow for quicker processing, and persons seeking an extension of a temporary restricted license after the person’s OWI license revocation has ended will benefit from the greater flexibility in the chapter allowing the Department to automatically extend the temporary restricted license for six months, while still retaining the ability to extend for a longer period for reasons of hardship.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amendments.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620.3(2)“b”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 certification of installation of an approved ignition interlock device on each vehicle required pursuant to Iowa Code section </w:t>
      </w:r>
      <w:hyperlink r:id="rId6">
        <w:r>
          <w:rPr>
            <w:rStyle w:val="Hyperlink"/>
            <w:rFonts w:ascii="Times New Roman" w:hAnsi="Times New Roman"/>
            <w:b w:val="false"/>
            <w:i w:val="false"/>
            <w:color w:val="000000"/>
            <w:sz w:val="24"/>
          </w:rPr>
          <w:t>321J.20(2)</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unless proof of installation is provided to the department electronically by the ignition interlock device provider</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620.4(2)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620.4(2)</w:t>
      </w:r>
      <w:r>
        <w:rPr>
          <w:rFonts w:ascii="Times New Roman" w:hAnsi="Times New Roman"/>
          <w:b w:val="false"/>
          <w:i w:val="false"/>
          <w:color w:val="000000"/>
          <w:sz w:val="24"/>
        </w:rPr>
        <w:t> </w:t>
      </w:r>
      <w:r>
        <w:rPr>
          <w:rFonts w:ascii="Times New Roman" w:hAnsi="Times New Roman"/>
          <w:b w:val="false"/>
          <w:i/>
          <w:color w:val="000000"/>
          <w:sz w:val="24"/>
        </w:rPr>
        <w:t xml:space="preserve">Electronic reporting.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approved ignition interlock device provider shall electronically report </w:t>
      </w:r>
      <w:r>
        <w:rPr>
          <w:rFonts w:ascii="Times New Roman" w:hAnsi="Times New Roman"/>
          <w:b w:val="false"/>
          <w:i w:val="false"/>
          <w:strike/>
          <w:color w:val="000000"/>
          <w:sz w:val="24"/>
        </w:rPr>
        <w:t>a notice of violation occurrence and a final compliance report to the department in a manner approved by the department.</w:t>
      </w:r>
      <w:r>
        <w:rPr>
          <w:rFonts w:ascii="Times New Roman" w:hAnsi="Times New Roman"/>
          <w:b w:val="false"/>
          <w:i w:val="false"/>
          <w:color w:val="000000"/>
          <w:sz w:val="24"/>
          <w:u w:val="single"/>
        </w:rPr>
        <w:t>, in a manner approved by the department, the following notices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Notices of installation and deinstallation of ignition interlock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Notices of violation occurrences.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Final compliance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approved ignition interlock provider shall retain all data, information and records associated with a notice of violation occurrence and final compliance report for a period of at least five years and make such data available to the department upon request.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761—620.7(307,321,321J)</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761—620.7</w:t>
      </w:r>
      <w:r>
        <w:rPr>
          <w:rFonts w:ascii="Times New Roman" w:hAnsi="Times New Roman"/>
          <w:b/>
          <w:i w:val="false"/>
          <w:color w:val="000000"/>
          <w:sz w:val="24"/>
        </w:rPr>
        <w:t xml:space="preserve">(307,321,321J) </w:t>
      </w:r>
      <w:r>
        <w:rPr>
          <w:rFonts w:ascii="Times New Roman" w:hAnsi="Times New Roman"/>
          <w:b/>
          <w:i w:val="false"/>
          <w:color w:val="000000"/>
          <w:sz w:val="24"/>
        </w:rPr>
        <w:t xml:space="preserve">Issuance of temporary restricted license after revocation period has expired. </w:t>
      </w:r>
      <w:r>
        <w:rPr>
          <w:rFonts w:ascii="Times New Roman" w:hAnsi="Times New Roman"/>
          <w:b w:val="false"/>
          <w:i w:val="false"/>
          <w:color w:val="000000"/>
          <w:sz w:val="24"/>
        </w:rPr>
        <w:t>The department may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automatically</w:t>
      </w:r>
      <w:r>
        <w:rPr>
          <w:rFonts w:ascii="Times New Roman" w:hAnsi="Times New Roman"/>
          <w:b w:val="false"/>
          <w:i w:val="false"/>
          <w:color w:val="000000"/>
          <w:sz w:val="24"/>
        </w:rPr>
        <w:t xml:space="preserve"> issue a temporary restricted license under Iowa Code section </w:t>
      </w:r>
      <w:hyperlink r:id="rId7">
        <w:r>
          <w:rPr>
            <w:rStyle w:val="Hyperlink"/>
            <w:rFonts w:ascii="Times New Roman" w:hAnsi="Times New Roman"/>
            <w:b w:val="false"/>
            <w:i w:val="false"/>
            <w:color w:val="000000"/>
            <w:sz w:val="24"/>
          </w:rPr>
          <w:t>321J.20(6)</w:t>
        </w:r>
      </w:hyperlink>
      <w:r>
        <w:rPr>
          <w:rFonts w:ascii="Times New Roman" w:hAnsi="Times New Roman"/>
          <w:b w:val="false"/>
          <w:i w:val="false"/>
          <w:color w:val="000000"/>
          <w:sz w:val="24"/>
        </w:rPr>
        <w:t xml:space="preserve"> for six months from the end of the original revocation</w:t>
      </w:r>
      <w:r>
        <w:rPr>
          <w:rFonts w:ascii="Times New Roman" w:hAnsi="Times New Roman"/>
          <w:b w:val="false"/>
          <w:i w:val="false"/>
          <w:strike/>
          <w:color w:val="000000"/>
          <w:sz w:val="24"/>
        </w:rPr>
        <w:t>, unless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w:t>
      </w:r>
      <w:r>
        <w:rPr>
          <w:rFonts w:ascii="Times New Roman" w:hAnsi="Times New Roman"/>
          <w:b w:val="false"/>
          <w:i w:val="false"/>
          <w:color w:val="000000"/>
          <w:sz w:val="24"/>
        </w:rPr>
        <w:t xml:space="preserve"> a longer period of time is necessary to complete the requirements for driver’s license reinstatement.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620.7(1)</w:t>
      </w:r>
      <w:r>
        <w:rPr>
          <w:rFonts w:ascii="Times New Roman" w:hAnsi="Times New Roman"/>
          <w:b w:val="false"/>
          <w:i w:val="false"/>
          <w:color w:val="000000"/>
          <w:sz w:val="24"/>
        </w:rPr>
        <w:t> </w:t>
      </w:r>
      <w:r>
        <w:rPr>
          <w:rFonts w:ascii="Times New Roman" w:hAnsi="Times New Roman"/>
          <w:b w:val="false"/>
          <w:i w:val="false"/>
          <w:strike/>
          <w:color w:val="000000"/>
          <w:sz w:val="24"/>
        </w:rPr>
        <w:t>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extensions beyond six months, an</w:t>
      </w:r>
      <w:r>
        <w:rPr>
          <w:rFonts w:ascii="Times New Roman" w:hAnsi="Times New Roman"/>
          <w:b w:val="false"/>
          <w:i w:val="false"/>
          <w:color w:val="000000"/>
          <w:sz w:val="24"/>
        </w:rPr>
        <w:t xml:space="preserve"> applicant for a temporary restricted license under this rule must demonstrate to the satisfaction of the department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w:t>
      </w:r>
      <w:r>
        <w:rPr>
          <w:rFonts w:ascii="Times New Roman" w:hAnsi="Times New Roman"/>
          <w:b w:val="false"/>
          <w:i w:val="false"/>
          <w:color w:val="000000"/>
          <w:sz w:val="24"/>
        </w:rPr>
        <w:t>That a course for drinking drivers was not readily available to the person during the revocation period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the six-month period after the revocation</w:t>
      </w:r>
      <w:r>
        <w:rPr>
          <w:rFonts w:ascii="Times New Roman" w:hAnsi="Times New Roman"/>
          <w:b w:val="false"/>
          <w:i w:val="false"/>
          <w:color w:val="000000"/>
          <w:sz w:val="24"/>
        </w:rPr>
        <w:t xml:space="preserve"> and that the applicant has enrolled in a course for drinking drivers. The applicant must furnish the dates the class will begin and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620.7(2)</w:t>
      </w:r>
      <w:r>
        <w:rPr>
          <w:rFonts w:ascii="Times New Roman" w:hAnsi="Times New Roman"/>
          <w:b w:val="false"/>
          <w:i w:val="false"/>
          <w:color w:val="000000"/>
          <w:sz w:val="24"/>
        </w:rPr>
        <w:t xml:space="preserve"> No change.</w:t>
      </w:r>
    </w:p>
    <w:p>
      <w:pPr>
        <w:spacing w:before="0" w:after="0" w:line="240"/>
        <w:ind w:left="120"/>
        <w:jc w:val="both"/>
      </w:pP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78552135421437?p=Jr5vy2ZnqAjcbNhaKs"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321J.20.pdf" Type="http://schemas.openxmlformats.org/officeDocument/2006/relationships/hyperlink" Id="rId6"/>
    <Relationship TargetMode="External" Target="https://www.legis.iowa.gov/docs/ico/chapter/321J.2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